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C4" w:rsidRPr="009A2DDC" w:rsidRDefault="00CB4702" w:rsidP="009A2DDC">
      <w:pPr>
        <w:pStyle w:val="NoSpacing"/>
        <w:jc w:val="center"/>
        <w:rPr>
          <w:rFonts w:ascii="Garamond" w:hAnsi="Garamond"/>
          <w:sz w:val="24"/>
          <w:szCs w:val="24"/>
        </w:rPr>
      </w:pPr>
      <w:r>
        <w:rPr>
          <w:rFonts w:ascii="Garamond" w:hAnsi="Garamond"/>
          <w:noProof/>
          <w:sz w:val="24"/>
          <w:szCs w:val="24"/>
        </w:rPr>
        <w:drawing>
          <wp:inline distT="0" distB="0" distL="0" distR="0">
            <wp:extent cx="2686314" cy="2972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TTA_CS_14_F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404" cy="2984153"/>
                    </a:xfrm>
                    <a:prstGeom prst="rect">
                      <a:avLst/>
                    </a:prstGeom>
                  </pic:spPr>
                </pic:pic>
              </a:graphicData>
            </a:graphic>
          </wp:inline>
        </w:drawing>
      </w:r>
    </w:p>
    <w:p w:rsidR="009A2DDC" w:rsidRPr="009A2DDC" w:rsidRDefault="009A2DDC" w:rsidP="009A2DDC">
      <w:pPr>
        <w:pStyle w:val="NoSpacing"/>
        <w:rPr>
          <w:rFonts w:ascii="Garamond" w:hAnsi="Garamond"/>
          <w:sz w:val="24"/>
          <w:szCs w:val="24"/>
        </w:rPr>
      </w:pPr>
    </w:p>
    <w:p w:rsidR="00D843E5" w:rsidRDefault="00D843E5" w:rsidP="009A2DDC">
      <w:pPr>
        <w:autoSpaceDE w:val="0"/>
        <w:autoSpaceDN w:val="0"/>
        <w:adjustRightInd w:val="0"/>
        <w:spacing w:after="0" w:line="240" w:lineRule="auto"/>
        <w:jc w:val="center"/>
        <w:rPr>
          <w:rFonts w:ascii="Garamond" w:hAnsi="Garamond" w:cs="AGaramondPro-Semibold"/>
          <w:b/>
          <w:sz w:val="24"/>
          <w:szCs w:val="24"/>
        </w:rPr>
      </w:pPr>
    </w:p>
    <w:p w:rsidR="009A2DDC" w:rsidRPr="000C7DF5" w:rsidRDefault="009A2DDC" w:rsidP="00C76FBC">
      <w:pPr>
        <w:tabs>
          <w:tab w:val="left" w:pos="9000"/>
        </w:tabs>
        <w:autoSpaceDE w:val="0"/>
        <w:autoSpaceDN w:val="0"/>
        <w:adjustRightInd w:val="0"/>
        <w:spacing w:after="0" w:line="240" w:lineRule="auto"/>
        <w:ind w:left="720" w:right="720"/>
        <w:jc w:val="center"/>
        <w:rPr>
          <w:rFonts w:ascii="Garamond" w:hAnsi="Garamond" w:cs="AGaramondPro-Semibold"/>
          <w:b/>
          <w:sz w:val="28"/>
          <w:szCs w:val="28"/>
        </w:rPr>
      </w:pPr>
      <w:r w:rsidRPr="000C7DF5">
        <w:rPr>
          <w:rFonts w:ascii="Garamond" w:hAnsi="Garamond" w:cs="AGaramondPro-Semibold"/>
          <w:b/>
          <w:sz w:val="28"/>
          <w:szCs w:val="28"/>
        </w:rPr>
        <w:t xml:space="preserve">Arietta </w:t>
      </w:r>
      <w:r w:rsidR="00207B35">
        <w:rPr>
          <w:rFonts w:ascii="Garamond" w:hAnsi="Garamond" w:cs="AGaramondPro-Semibold"/>
          <w:b/>
          <w:sz w:val="28"/>
          <w:szCs w:val="28"/>
        </w:rPr>
        <w:t>Cabernet Sauvignon</w:t>
      </w:r>
      <w:r w:rsidR="00CB4702">
        <w:rPr>
          <w:rFonts w:ascii="Garamond" w:hAnsi="Garamond" w:cs="AGaramondPro-Semibold"/>
          <w:b/>
          <w:sz w:val="28"/>
          <w:szCs w:val="28"/>
        </w:rPr>
        <w:t xml:space="preserve"> 2014</w:t>
      </w:r>
    </w:p>
    <w:p w:rsidR="005819F6" w:rsidRDefault="005819F6" w:rsidP="005819F6">
      <w:pPr>
        <w:tabs>
          <w:tab w:val="left" w:pos="9000"/>
        </w:tabs>
        <w:autoSpaceDE w:val="0"/>
        <w:autoSpaceDN w:val="0"/>
        <w:adjustRightInd w:val="0"/>
        <w:spacing w:after="0" w:line="240" w:lineRule="auto"/>
        <w:ind w:left="720" w:right="720"/>
        <w:rPr>
          <w:rFonts w:ascii="Garamond" w:hAnsi="Garamond" w:cs="AGaramondPro-Semibold"/>
          <w:b/>
          <w:sz w:val="24"/>
          <w:szCs w:val="24"/>
        </w:rPr>
      </w:pPr>
    </w:p>
    <w:p w:rsidR="00CB4702" w:rsidRDefault="00CB4702" w:rsidP="00BE3813">
      <w:pPr>
        <w:tabs>
          <w:tab w:val="left" w:pos="9000"/>
        </w:tabs>
        <w:autoSpaceDE w:val="0"/>
        <w:autoSpaceDN w:val="0"/>
        <w:adjustRightInd w:val="0"/>
        <w:spacing w:after="0" w:line="240" w:lineRule="auto"/>
        <w:ind w:left="720" w:right="720"/>
        <w:jc w:val="both"/>
        <w:rPr>
          <w:rFonts w:ascii="Garamond" w:hAnsi="Garamond" w:cs="AGaramondPro-Semibold"/>
          <w:sz w:val="24"/>
          <w:szCs w:val="24"/>
        </w:rPr>
      </w:pPr>
      <w:r w:rsidRPr="00CB4702">
        <w:rPr>
          <w:rFonts w:ascii="Garamond" w:hAnsi="Garamond" w:cs="AGaramondPro-Semibold"/>
          <w:sz w:val="24"/>
          <w:szCs w:val="24"/>
        </w:rPr>
        <w:t xml:space="preserve">The Arietta Cabernet Sauvignon </w:t>
      </w:r>
      <w:r w:rsidR="00D65233">
        <w:rPr>
          <w:rFonts w:ascii="Garamond" w:hAnsi="Garamond" w:cs="AGaramondPro-Semibold"/>
          <w:sz w:val="24"/>
          <w:szCs w:val="24"/>
        </w:rPr>
        <w:t xml:space="preserve">2014 </w:t>
      </w:r>
      <w:r w:rsidR="00D65233" w:rsidRPr="00D65233">
        <w:rPr>
          <w:rFonts w:ascii="Garamond" w:hAnsi="Garamond" w:cs="AGaramondPro-Semibold"/>
          <w:sz w:val="24"/>
          <w:szCs w:val="24"/>
        </w:rPr>
        <w:t xml:space="preserve">is a highlight of the Arietta portfolio in this vintage.  For the first time in five years, we have blended the Clone 337 Cabernet Sauvignon from our superbly situated 1.77 acre block in Coombsville with small amounts of Cabernet Franc and Petit Verdot.  </w:t>
      </w:r>
    </w:p>
    <w:p w:rsidR="00856A85" w:rsidRDefault="00856A85" w:rsidP="00BE3813">
      <w:pPr>
        <w:tabs>
          <w:tab w:val="left" w:pos="9000"/>
        </w:tabs>
        <w:autoSpaceDE w:val="0"/>
        <w:autoSpaceDN w:val="0"/>
        <w:adjustRightInd w:val="0"/>
        <w:spacing w:after="0" w:line="240" w:lineRule="auto"/>
        <w:ind w:left="720" w:right="720"/>
        <w:jc w:val="both"/>
        <w:rPr>
          <w:rFonts w:ascii="Garamond" w:hAnsi="Garamond" w:cs="AGaramondPro-Regular"/>
          <w:sz w:val="24"/>
          <w:szCs w:val="24"/>
        </w:rPr>
      </w:pPr>
    </w:p>
    <w:p w:rsidR="005C5BA2" w:rsidRPr="00BE3813" w:rsidRDefault="00BE3813" w:rsidP="00C76FBC">
      <w:pPr>
        <w:tabs>
          <w:tab w:val="left" w:pos="9000"/>
        </w:tabs>
        <w:autoSpaceDE w:val="0"/>
        <w:autoSpaceDN w:val="0"/>
        <w:adjustRightInd w:val="0"/>
        <w:spacing w:after="0" w:line="240" w:lineRule="auto"/>
        <w:ind w:left="720" w:right="720"/>
        <w:jc w:val="both"/>
        <w:rPr>
          <w:rFonts w:ascii="Garamond" w:hAnsi="Garamond" w:cs="AGaramondPro-Regular"/>
          <w:i/>
          <w:sz w:val="24"/>
          <w:szCs w:val="24"/>
        </w:rPr>
      </w:pPr>
      <w:r w:rsidRPr="00C66FC7">
        <w:rPr>
          <w:rFonts w:ascii="Garamond" w:hAnsi="Garamond" w:cs="AGaramondPro-Regular"/>
          <w:sz w:val="24"/>
          <w:szCs w:val="24"/>
        </w:rPr>
        <w:t xml:space="preserve">Notes from Winemaker Andy </w:t>
      </w:r>
      <w:r w:rsidR="00856A85" w:rsidRPr="00C66FC7">
        <w:rPr>
          <w:rFonts w:ascii="Garamond" w:hAnsi="Garamond" w:cs="AGaramondPro-Regular"/>
          <w:sz w:val="24"/>
          <w:szCs w:val="24"/>
        </w:rPr>
        <w:t>Erickson:</w:t>
      </w:r>
      <w:r w:rsidR="00856A85" w:rsidRPr="00BE3813">
        <w:rPr>
          <w:rFonts w:ascii="Garamond" w:hAnsi="Garamond" w:cs="AGaramondPro-Regular"/>
          <w:i/>
          <w:sz w:val="24"/>
          <w:szCs w:val="24"/>
        </w:rPr>
        <w:t xml:space="preserve"> </w:t>
      </w:r>
      <w:r w:rsidR="00856A85" w:rsidRPr="00CB4702">
        <w:rPr>
          <w:rFonts w:ascii="Garamond" w:hAnsi="Garamond" w:cs="AGaramondPro-Regular"/>
          <w:i/>
          <w:sz w:val="24"/>
          <w:szCs w:val="24"/>
        </w:rPr>
        <w:t>“Like</w:t>
      </w:r>
      <w:r w:rsidR="00CB4702" w:rsidRPr="00CB4702">
        <w:rPr>
          <w:rFonts w:ascii="Garamond" w:hAnsi="Garamond" w:cs="AGaramondPro-Regular"/>
          <w:i/>
          <w:sz w:val="24"/>
          <w:szCs w:val="24"/>
        </w:rPr>
        <w:t xml:space="preserve"> the vintage itself, the 2014 Arietta Cabernet Sauvignon is defined by freshness, varietal definition, and a bright, focused demeanor.  The core Cabernet Sauvignon component expresses itself beautifully here, with a burnished texture, black fruit flavors and aromas, and hints of crushed stones and freshly dug soil.  The </w:t>
      </w:r>
      <w:r w:rsidR="00856A85" w:rsidRPr="00CB4702">
        <w:rPr>
          <w:rFonts w:ascii="Garamond" w:hAnsi="Garamond" w:cs="AGaramondPro-Regular"/>
          <w:i/>
          <w:sz w:val="24"/>
          <w:szCs w:val="24"/>
        </w:rPr>
        <w:t>ad</w:t>
      </w:r>
      <w:r w:rsidR="00856A85">
        <w:rPr>
          <w:rFonts w:ascii="Garamond" w:hAnsi="Garamond" w:cs="AGaramondPro-Regular"/>
          <w:i/>
          <w:sz w:val="24"/>
          <w:szCs w:val="24"/>
        </w:rPr>
        <w:t>d</w:t>
      </w:r>
      <w:r w:rsidR="00856A85" w:rsidRPr="00CB4702">
        <w:rPr>
          <w:rFonts w:ascii="Garamond" w:hAnsi="Garamond" w:cs="AGaramondPro-Regular"/>
          <w:i/>
          <w:sz w:val="24"/>
          <w:szCs w:val="24"/>
        </w:rPr>
        <w:t>ition</w:t>
      </w:r>
      <w:r w:rsidR="00CB4702" w:rsidRPr="00CB4702">
        <w:rPr>
          <w:rFonts w:ascii="Garamond" w:hAnsi="Garamond" w:cs="AGaramondPro-Regular"/>
          <w:i/>
          <w:sz w:val="24"/>
          <w:szCs w:val="24"/>
        </w:rPr>
        <w:t xml:space="preserve"> of 6% Cabernet Franc and 3% Petit Verdot adds layers of complexity and enjoyment to the wine, with notes of pencil shavings, cardamom, and dried flowers.  This young wine benefits from a pre-service decanting, and will continue to open and expand over the next 10-15 years.</w:t>
      </w:r>
      <w:r w:rsidR="00594C2C">
        <w:rPr>
          <w:rFonts w:ascii="Garamond" w:hAnsi="Garamond" w:cs="AGaramondPro-Regular"/>
          <w:i/>
          <w:sz w:val="24"/>
          <w:szCs w:val="24"/>
        </w:rPr>
        <w:t>”</w:t>
      </w:r>
    </w:p>
    <w:p w:rsidR="000C7DF5" w:rsidRDefault="000C7DF5" w:rsidP="00C76FBC">
      <w:pPr>
        <w:tabs>
          <w:tab w:val="left" w:pos="9000"/>
        </w:tabs>
        <w:autoSpaceDE w:val="0"/>
        <w:autoSpaceDN w:val="0"/>
        <w:adjustRightInd w:val="0"/>
        <w:spacing w:after="0" w:line="240" w:lineRule="auto"/>
        <w:ind w:left="720" w:right="720"/>
        <w:rPr>
          <w:rFonts w:ascii="Garamond" w:hAnsi="Garamond" w:cs="AGaramondPro-Bold"/>
          <w:b/>
          <w:bCs/>
          <w:sz w:val="24"/>
          <w:szCs w:val="24"/>
        </w:rPr>
      </w:pPr>
    </w:p>
    <w:p w:rsidR="00856A85" w:rsidRDefault="00856A85" w:rsidP="00856A85">
      <w:pPr>
        <w:tabs>
          <w:tab w:val="left" w:pos="9000"/>
        </w:tabs>
        <w:autoSpaceDE w:val="0"/>
        <w:autoSpaceDN w:val="0"/>
        <w:adjustRightInd w:val="0"/>
        <w:spacing w:after="0" w:line="240" w:lineRule="auto"/>
        <w:ind w:left="720" w:right="720"/>
        <w:jc w:val="both"/>
        <w:rPr>
          <w:rFonts w:ascii="Garamond" w:hAnsi="Garamond" w:cs="AGaramondPro-Semibold"/>
          <w:sz w:val="24"/>
          <w:szCs w:val="24"/>
        </w:rPr>
      </w:pPr>
      <w:r w:rsidRPr="00D65233">
        <w:rPr>
          <w:rFonts w:ascii="Garamond" w:hAnsi="Garamond" w:cs="AGaramondPro-Semibold"/>
          <w:sz w:val="24"/>
          <w:szCs w:val="24"/>
        </w:rPr>
        <w:t>Tasting the 2014 Arietta Cabernet Sauvignon from barrel, wine critic Antonio Galloni remarked, “</w:t>
      </w:r>
      <w:proofErr w:type="gramStart"/>
      <w:r w:rsidRPr="00856A85">
        <w:rPr>
          <w:rFonts w:ascii="Garamond" w:hAnsi="Garamond" w:cs="AGaramondPro-Semibold"/>
          <w:i/>
          <w:sz w:val="24"/>
          <w:szCs w:val="24"/>
        </w:rPr>
        <w:t>dark</w:t>
      </w:r>
      <w:proofErr w:type="gramEnd"/>
      <w:r w:rsidRPr="00856A85">
        <w:rPr>
          <w:rFonts w:ascii="Garamond" w:hAnsi="Garamond" w:cs="AGaramondPro-Semibold"/>
          <w:i/>
          <w:sz w:val="24"/>
          <w:szCs w:val="24"/>
        </w:rPr>
        <w:t>, bold and incisive, the 2014 races across the palate with notable succulence and depth.</w:t>
      </w:r>
      <w:r w:rsidRPr="00D65233">
        <w:rPr>
          <w:rFonts w:ascii="Garamond" w:hAnsi="Garamond" w:cs="AGaramondPro-Semibold"/>
          <w:sz w:val="24"/>
          <w:szCs w:val="24"/>
        </w:rPr>
        <w:t xml:space="preserve">”  </w:t>
      </w:r>
    </w:p>
    <w:p w:rsidR="00C66FC7" w:rsidRDefault="00C66FC7" w:rsidP="00C76FBC">
      <w:pPr>
        <w:tabs>
          <w:tab w:val="left" w:pos="9000"/>
        </w:tabs>
        <w:autoSpaceDE w:val="0"/>
        <w:autoSpaceDN w:val="0"/>
        <w:adjustRightInd w:val="0"/>
        <w:spacing w:after="0" w:line="240" w:lineRule="auto"/>
        <w:ind w:left="720" w:right="720"/>
        <w:rPr>
          <w:rFonts w:ascii="Garamond" w:hAnsi="Garamond" w:cs="AGaramondPro-Bold"/>
          <w:b/>
          <w:bCs/>
          <w:sz w:val="24"/>
          <w:szCs w:val="24"/>
        </w:rPr>
      </w:pPr>
    </w:p>
    <w:p w:rsidR="00856A85" w:rsidRDefault="00856A85" w:rsidP="00C76FBC">
      <w:pPr>
        <w:tabs>
          <w:tab w:val="left" w:pos="9000"/>
        </w:tabs>
        <w:autoSpaceDE w:val="0"/>
        <w:autoSpaceDN w:val="0"/>
        <w:adjustRightInd w:val="0"/>
        <w:spacing w:after="0" w:line="240" w:lineRule="auto"/>
        <w:ind w:left="720" w:right="720"/>
        <w:rPr>
          <w:rFonts w:ascii="Garamond" w:hAnsi="Garamond" w:cs="AGaramondPro-Bold"/>
          <w:b/>
          <w:bCs/>
          <w:sz w:val="24"/>
          <w:szCs w:val="24"/>
        </w:rPr>
      </w:pPr>
    </w:p>
    <w:p w:rsidR="00A270CB" w:rsidRPr="00A270CB" w:rsidRDefault="00A270CB" w:rsidP="000C7DF5">
      <w:pPr>
        <w:tabs>
          <w:tab w:val="left" w:pos="9000"/>
        </w:tabs>
        <w:autoSpaceDE w:val="0"/>
        <w:autoSpaceDN w:val="0"/>
        <w:adjustRightInd w:val="0"/>
        <w:spacing w:after="0" w:line="276" w:lineRule="auto"/>
        <w:ind w:left="720" w:right="720"/>
        <w:jc w:val="both"/>
        <w:rPr>
          <w:rFonts w:ascii="Garamond" w:hAnsi="Garamond" w:cs="AGaramondPro-Bold"/>
          <w:bCs/>
          <w:sz w:val="24"/>
          <w:szCs w:val="24"/>
        </w:rPr>
      </w:pPr>
      <w:r w:rsidRPr="00A270CB">
        <w:rPr>
          <w:rFonts w:ascii="Garamond" w:hAnsi="Garamond" w:cs="AGaramondPro-Bold"/>
          <w:b/>
          <w:bCs/>
          <w:sz w:val="24"/>
          <w:szCs w:val="24"/>
        </w:rPr>
        <w:t>Blend:</w:t>
      </w:r>
      <w:r w:rsidR="0086069C">
        <w:rPr>
          <w:rFonts w:ascii="Garamond" w:hAnsi="Garamond" w:cs="AGaramondPro-Bold"/>
          <w:bCs/>
          <w:sz w:val="24"/>
          <w:szCs w:val="24"/>
        </w:rPr>
        <w:t xml:space="preserve"> </w:t>
      </w:r>
      <w:r w:rsidR="002761ED">
        <w:rPr>
          <w:rFonts w:ascii="Garamond" w:hAnsi="Garamond" w:cs="AGaramondPro-Bold"/>
          <w:bCs/>
          <w:sz w:val="24"/>
          <w:szCs w:val="24"/>
        </w:rPr>
        <w:t>91</w:t>
      </w:r>
      <w:r w:rsidR="000C7DF5" w:rsidRPr="000C7DF5">
        <w:rPr>
          <w:rFonts w:ascii="Garamond" w:hAnsi="Garamond" w:cs="AGaramondPro-Bold"/>
          <w:bCs/>
          <w:sz w:val="24"/>
          <w:szCs w:val="24"/>
        </w:rPr>
        <w:t xml:space="preserve">% </w:t>
      </w:r>
      <w:r w:rsidR="000C7DF5">
        <w:rPr>
          <w:rFonts w:ascii="Garamond" w:hAnsi="Garamond" w:cs="AGaramondPro-Bold"/>
          <w:bCs/>
          <w:sz w:val="24"/>
          <w:szCs w:val="24"/>
        </w:rPr>
        <w:t>Cabernet Sauvignon</w:t>
      </w:r>
      <w:r w:rsidR="002761ED">
        <w:rPr>
          <w:rFonts w:ascii="Garamond" w:hAnsi="Garamond" w:cs="AGaramondPro-Bold"/>
          <w:bCs/>
          <w:sz w:val="24"/>
          <w:szCs w:val="24"/>
        </w:rPr>
        <w:t xml:space="preserve">, 6% Cabernet Franc, </w:t>
      </w:r>
      <w:proofErr w:type="gramStart"/>
      <w:r w:rsidR="002761ED">
        <w:rPr>
          <w:rFonts w:ascii="Garamond" w:hAnsi="Garamond" w:cs="AGaramondPro-Bold"/>
          <w:bCs/>
          <w:sz w:val="24"/>
          <w:szCs w:val="24"/>
        </w:rPr>
        <w:t>3</w:t>
      </w:r>
      <w:proofErr w:type="gramEnd"/>
      <w:r w:rsidR="002761ED">
        <w:rPr>
          <w:rFonts w:ascii="Garamond" w:hAnsi="Garamond" w:cs="AGaramondPro-Bold"/>
          <w:bCs/>
          <w:sz w:val="24"/>
          <w:szCs w:val="24"/>
        </w:rPr>
        <w:t>% Petit Verdot</w:t>
      </w:r>
    </w:p>
    <w:p w:rsidR="009F2D19" w:rsidRDefault="0067768B" w:rsidP="000C7DF5">
      <w:pPr>
        <w:autoSpaceDE w:val="0"/>
        <w:autoSpaceDN w:val="0"/>
        <w:adjustRightInd w:val="0"/>
        <w:spacing w:after="0" w:line="276" w:lineRule="auto"/>
        <w:ind w:left="720" w:right="720"/>
        <w:rPr>
          <w:rFonts w:ascii="Garamond" w:hAnsi="Garamond" w:cs="AGaramondPro-Bold"/>
          <w:b/>
          <w:bCs/>
          <w:sz w:val="24"/>
          <w:szCs w:val="24"/>
        </w:rPr>
      </w:pPr>
      <w:r>
        <w:rPr>
          <w:rFonts w:ascii="Garamond" w:hAnsi="Garamond" w:cs="AGaramondPro-Bold"/>
          <w:b/>
          <w:bCs/>
          <w:sz w:val="24"/>
          <w:szCs w:val="24"/>
        </w:rPr>
        <w:t>Fruit Sources</w:t>
      </w:r>
      <w:r w:rsidR="009F2D19">
        <w:rPr>
          <w:rFonts w:ascii="Garamond" w:hAnsi="Garamond" w:cs="AGaramondPro-Bold"/>
          <w:b/>
          <w:bCs/>
          <w:sz w:val="24"/>
          <w:szCs w:val="24"/>
        </w:rPr>
        <w:t xml:space="preserve">: </w:t>
      </w:r>
      <w:r w:rsidR="00C35CC9">
        <w:rPr>
          <w:rFonts w:ascii="Garamond" w:hAnsi="Garamond" w:cs="AGaramondPro-Bold"/>
          <w:bCs/>
          <w:sz w:val="24"/>
          <w:szCs w:val="24"/>
        </w:rPr>
        <w:t>100% Coombsville</w:t>
      </w:r>
    </w:p>
    <w:p w:rsidR="00594C2C" w:rsidRPr="00594C2C" w:rsidRDefault="00594C2C" w:rsidP="000C7DF5">
      <w:pPr>
        <w:autoSpaceDE w:val="0"/>
        <w:autoSpaceDN w:val="0"/>
        <w:adjustRightInd w:val="0"/>
        <w:spacing w:after="0" w:line="276" w:lineRule="auto"/>
        <w:ind w:left="720" w:right="720"/>
        <w:rPr>
          <w:rFonts w:ascii="Garamond" w:hAnsi="Garamond" w:cs="AGaramondPro-Bold"/>
          <w:bCs/>
          <w:sz w:val="24"/>
          <w:szCs w:val="24"/>
        </w:rPr>
      </w:pPr>
      <w:r>
        <w:rPr>
          <w:rFonts w:ascii="Garamond" w:hAnsi="Garamond" w:cs="AGaramondPro-Bold"/>
          <w:b/>
          <w:bCs/>
          <w:sz w:val="24"/>
          <w:szCs w:val="24"/>
        </w:rPr>
        <w:t xml:space="preserve">Age of Vines: </w:t>
      </w:r>
      <w:r>
        <w:rPr>
          <w:rFonts w:ascii="Garamond" w:hAnsi="Garamond" w:cs="AGaramondPro-Bold"/>
          <w:bCs/>
          <w:sz w:val="24"/>
          <w:szCs w:val="24"/>
        </w:rPr>
        <w:t>10-18 years</w:t>
      </w:r>
    </w:p>
    <w:p w:rsidR="006935BE" w:rsidRDefault="006935BE" w:rsidP="000C7DF5">
      <w:pPr>
        <w:autoSpaceDE w:val="0"/>
        <w:autoSpaceDN w:val="0"/>
        <w:adjustRightInd w:val="0"/>
        <w:spacing w:after="0" w:line="276" w:lineRule="auto"/>
        <w:ind w:left="720" w:right="720"/>
        <w:rPr>
          <w:rFonts w:ascii="Garamond" w:hAnsi="Garamond" w:cs="AGaramondPro-Bold"/>
          <w:b/>
          <w:bCs/>
          <w:sz w:val="24"/>
          <w:szCs w:val="24"/>
        </w:rPr>
      </w:pPr>
      <w:r>
        <w:rPr>
          <w:rFonts w:ascii="Garamond" w:hAnsi="Garamond" w:cs="AGaramondPro-Bold"/>
          <w:b/>
          <w:bCs/>
          <w:sz w:val="24"/>
          <w:szCs w:val="24"/>
        </w:rPr>
        <w:t xml:space="preserve">Cooperage: </w:t>
      </w:r>
      <w:r>
        <w:rPr>
          <w:rFonts w:ascii="Garamond" w:hAnsi="Garamond" w:cs="AGaramondPro-Bold"/>
          <w:bCs/>
          <w:sz w:val="24"/>
          <w:szCs w:val="24"/>
        </w:rPr>
        <w:t>Aged 2</w:t>
      </w:r>
      <w:r w:rsidR="002761ED">
        <w:rPr>
          <w:rFonts w:ascii="Garamond" w:hAnsi="Garamond" w:cs="AGaramondPro-Bold"/>
          <w:bCs/>
          <w:sz w:val="24"/>
          <w:szCs w:val="24"/>
        </w:rPr>
        <w:t>2 months in French oak, 74</w:t>
      </w:r>
      <w:r w:rsidRPr="00D12E88">
        <w:rPr>
          <w:rFonts w:ascii="Garamond" w:hAnsi="Garamond" w:cs="AGaramondPro-Bold"/>
          <w:bCs/>
          <w:sz w:val="24"/>
          <w:szCs w:val="24"/>
        </w:rPr>
        <w:t>% new</w:t>
      </w:r>
    </w:p>
    <w:p w:rsidR="00A270CB" w:rsidRDefault="00A270CB" w:rsidP="00594C2C">
      <w:pPr>
        <w:tabs>
          <w:tab w:val="left" w:pos="9000"/>
        </w:tabs>
        <w:autoSpaceDE w:val="0"/>
        <w:autoSpaceDN w:val="0"/>
        <w:adjustRightInd w:val="0"/>
        <w:spacing w:after="0" w:line="276" w:lineRule="auto"/>
        <w:ind w:left="720" w:right="720"/>
        <w:jc w:val="both"/>
        <w:rPr>
          <w:rFonts w:ascii="Garamond" w:hAnsi="Garamond" w:cs="AGaramondPro-Regular"/>
          <w:sz w:val="24"/>
          <w:szCs w:val="24"/>
        </w:rPr>
      </w:pPr>
      <w:r w:rsidRPr="00A270CB">
        <w:rPr>
          <w:rFonts w:ascii="Garamond" w:hAnsi="Garamond" w:cs="AGaramondPro-Bold"/>
          <w:b/>
          <w:bCs/>
          <w:sz w:val="24"/>
          <w:szCs w:val="24"/>
        </w:rPr>
        <w:t>Production:</w:t>
      </w:r>
      <w:r w:rsidRPr="00A270CB">
        <w:rPr>
          <w:rFonts w:ascii="Garamond" w:hAnsi="Garamond" w:cs="AGaramondPro-Bold"/>
          <w:bCs/>
          <w:sz w:val="24"/>
          <w:szCs w:val="24"/>
        </w:rPr>
        <w:t xml:space="preserve"> </w:t>
      </w:r>
      <w:r w:rsidR="00856A85">
        <w:rPr>
          <w:rFonts w:ascii="Garamond" w:hAnsi="Garamond" w:cs="AGaramondPro-Bold"/>
          <w:bCs/>
          <w:sz w:val="24"/>
          <w:szCs w:val="24"/>
        </w:rPr>
        <w:t>290</w:t>
      </w:r>
      <w:r w:rsidRPr="00A270CB">
        <w:rPr>
          <w:rFonts w:ascii="Garamond" w:hAnsi="Garamond" w:cs="AGaramondPro-Bold"/>
          <w:bCs/>
          <w:sz w:val="24"/>
          <w:szCs w:val="24"/>
        </w:rPr>
        <w:t xml:space="preserve"> cases</w:t>
      </w:r>
      <w:bookmarkStart w:id="0" w:name="_GoBack"/>
      <w:bookmarkEnd w:id="0"/>
    </w:p>
    <w:sectPr w:rsidR="00A270CB" w:rsidSect="009A2DDC">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15" w:rsidRDefault="00C46215" w:rsidP="00D843E5">
      <w:pPr>
        <w:spacing w:after="0" w:line="240" w:lineRule="auto"/>
      </w:pPr>
      <w:r>
        <w:separator/>
      </w:r>
    </w:p>
  </w:endnote>
  <w:endnote w:type="continuationSeparator" w:id="0">
    <w:p w:rsidR="00C46215" w:rsidRDefault="00C46215" w:rsidP="00D8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Pro-Semi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E5" w:rsidRDefault="00D843E5" w:rsidP="00D843E5">
    <w:pPr>
      <w:pStyle w:val="Footer"/>
      <w:jc w:val="center"/>
    </w:pPr>
    <w:r>
      <w:rPr>
        <w:rFonts w:ascii="Garamond" w:hAnsi="Garamond"/>
        <w:noProof/>
        <w:sz w:val="24"/>
        <w:szCs w:val="24"/>
      </w:rPr>
      <w:drawing>
        <wp:inline distT="0" distB="0" distL="0" distR="0" wp14:anchorId="1CB2F215" wp14:editId="17FDC13C">
          <wp:extent cx="3834384" cy="286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ETTA_FOO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4384" cy="2865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15" w:rsidRDefault="00C46215" w:rsidP="00D843E5">
      <w:pPr>
        <w:spacing w:after="0" w:line="240" w:lineRule="auto"/>
      </w:pPr>
      <w:r>
        <w:separator/>
      </w:r>
    </w:p>
  </w:footnote>
  <w:footnote w:type="continuationSeparator" w:id="0">
    <w:p w:rsidR="00C46215" w:rsidRDefault="00C46215" w:rsidP="00D84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DC"/>
    <w:rsid w:val="00023183"/>
    <w:rsid w:val="00032DC2"/>
    <w:rsid w:val="000A1EEF"/>
    <w:rsid w:val="000C020A"/>
    <w:rsid w:val="000C7DF5"/>
    <w:rsid w:val="00104C7D"/>
    <w:rsid w:val="00114A47"/>
    <w:rsid w:val="00207B35"/>
    <w:rsid w:val="0023158C"/>
    <w:rsid w:val="002761ED"/>
    <w:rsid w:val="003358B3"/>
    <w:rsid w:val="003467F9"/>
    <w:rsid w:val="003F667D"/>
    <w:rsid w:val="004B5DE8"/>
    <w:rsid w:val="005347E8"/>
    <w:rsid w:val="005819F6"/>
    <w:rsid w:val="00594C2C"/>
    <w:rsid w:val="005C5BA2"/>
    <w:rsid w:val="005D552F"/>
    <w:rsid w:val="00634C93"/>
    <w:rsid w:val="00665F74"/>
    <w:rsid w:val="0067768B"/>
    <w:rsid w:val="00682FCE"/>
    <w:rsid w:val="006935BE"/>
    <w:rsid w:val="00730D25"/>
    <w:rsid w:val="00731292"/>
    <w:rsid w:val="0079462B"/>
    <w:rsid w:val="007A5F2A"/>
    <w:rsid w:val="007B7A9F"/>
    <w:rsid w:val="00800629"/>
    <w:rsid w:val="00856A85"/>
    <w:rsid w:val="0086069C"/>
    <w:rsid w:val="008E42D3"/>
    <w:rsid w:val="009A2DDC"/>
    <w:rsid w:val="009D6DF8"/>
    <w:rsid w:val="009F2D19"/>
    <w:rsid w:val="009F76C8"/>
    <w:rsid w:val="00A12077"/>
    <w:rsid w:val="00A270CB"/>
    <w:rsid w:val="00AF3680"/>
    <w:rsid w:val="00B62911"/>
    <w:rsid w:val="00BA0C0A"/>
    <w:rsid w:val="00BE3813"/>
    <w:rsid w:val="00C110C4"/>
    <w:rsid w:val="00C35CC9"/>
    <w:rsid w:val="00C46215"/>
    <w:rsid w:val="00C66FC7"/>
    <w:rsid w:val="00C76FBC"/>
    <w:rsid w:val="00C8567E"/>
    <w:rsid w:val="00CB4702"/>
    <w:rsid w:val="00D65233"/>
    <w:rsid w:val="00D843E5"/>
    <w:rsid w:val="00D928C7"/>
    <w:rsid w:val="00E456D0"/>
    <w:rsid w:val="00EF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DE3A0-1509-4347-B183-B90274CD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DDC"/>
    <w:pPr>
      <w:spacing w:after="0" w:line="240" w:lineRule="auto"/>
    </w:pPr>
  </w:style>
  <w:style w:type="paragraph" w:styleId="Header">
    <w:name w:val="header"/>
    <w:basedOn w:val="Normal"/>
    <w:link w:val="HeaderChar"/>
    <w:uiPriority w:val="99"/>
    <w:unhideWhenUsed/>
    <w:rsid w:val="00D8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3E5"/>
  </w:style>
  <w:style w:type="paragraph" w:styleId="Footer">
    <w:name w:val="footer"/>
    <w:basedOn w:val="Normal"/>
    <w:link w:val="FooterChar"/>
    <w:uiPriority w:val="99"/>
    <w:unhideWhenUsed/>
    <w:rsid w:val="00D8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3E5"/>
  </w:style>
  <w:style w:type="paragraph" w:styleId="BalloonText">
    <w:name w:val="Balloon Text"/>
    <w:basedOn w:val="Normal"/>
    <w:link w:val="BalloonTextChar"/>
    <w:uiPriority w:val="99"/>
    <w:semiHidden/>
    <w:unhideWhenUsed/>
    <w:rsid w:val="00D84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Jessica</cp:lastModifiedBy>
  <cp:revision>31</cp:revision>
  <cp:lastPrinted>2014-07-09T18:26:00Z</cp:lastPrinted>
  <dcterms:created xsi:type="dcterms:W3CDTF">2014-01-14T21:45:00Z</dcterms:created>
  <dcterms:modified xsi:type="dcterms:W3CDTF">2016-08-24T20:56:00Z</dcterms:modified>
</cp:coreProperties>
</file>